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1F8AF5" w14:textId="77777777" w:rsidR="00000000" w:rsidRDefault="00496628">
      <w:pPr>
        <w:outlineLvl w:val="0"/>
        <w:rPr>
          <w:rFonts w:ascii="Times" w:hAnsi="Times"/>
          <w:b/>
          <w:sz w:val="28"/>
        </w:rPr>
      </w:pPr>
      <w:bookmarkStart w:id="0" w:name="_GoBack"/>
      <w:bookmarkEnd w:id="0"/>
      <w:r>
        <w:rPr>
          <w:rFonts w:ascii="Times" w:hAnsi="Times"/>
          <w:sz w:val="24"/>
        </w:rPr>
        <w:t>Gestur Pálsson læknir, Barnaspítala Hringsins, Landspítalanum - janúar 2001</w:t>
      </w:r>
    </w:p>
    <w:p w14:paraId="3B2298C5" w14:textId="77777777" w:rsidR="00000000" w:rsidRDefault="00496628">
      <w:pPr>
        <w:jc w:val="center"/>
        <w:rPr>
          <w:rFonts w:ascii="Times" w:hAnsi="Times"/>
          <w:b/>
          <w:sz w:val="28"/>
        </w:rPr>
      </w:pPr>
    </w:p>
    <w:p w14:paraId="394B8726" w14:textId="77777777" w:rsidR="00000000" w:rsidRDefault="00496628">
      <w:pPr>
        <w:jc w:val="center"/>
        <w:outlineLvl w:val="0"/>
        <w:rPr>
          <w:rFonts w:ascii="Times" w:hAnsi="Times"/>
          <w:sz w:val="24"/>
        </w:rPr>
      </w:pPr>
      <w:r>
        <w:rPr>
          <w:rFonts w:ascii="Times" w:hAnsi="Times"/>
          <w:b/>
          <w:sz w:val="28"/>
        </w:rPr>
        <w:t>GLÚTENÓÞOL - CELIAC SJÚKDÓMUR</w:t>
      </w:r>
    </w:p>
    <w:p w14:paraId="218C7E85" w14:textId="77777777" w:rsidR="00000000" w:rsidRDefault="00496628">
      <w:pPr>
        <w:rPr>
          <w:rFonts w:ascii="Times" w:hAnsi="Times"/>
          <w:sz w:val="24"/>
        </w:rPr>
      </w:pPr>
    </w:p>
    <w:p w14:paraId="25DE7342" w14:textId="77777777" w:rsidR="00000000" w:rsidRDefault="00496628">
      <w:pPr>
        <w:jc w:val="both"/>
        <w:rPr>
          <w:rFonts w:ascii="Times" w:hAnsi="Times"/>
          <w:sz w:val="24"/>
        </w:rPr>
      </w:pPr>
    </w:p>
    <w:p w14:paraId="61F874A1" w14:textId="77777777" w:rsidR="00000000" w:rsidRDefault="00496628">
      <w:pPr>
        <w:jc w:val="both"/>
        <w:rPr>
          <w:rFonts w:ascii="Times" w:hAnsi="Times"/>
          <w:sz w:val="24"/>
        </w:rPr>
      </w:pPr>
      <w:r>
        <w:rPr>
          <w:rFonts w:ascii="Times" w:hAnsi="Times"/>
          <w:sz w:val="24"/>
        </w:rPr>
        <w:t xml:space="preserve">Glútenóþol (gluten-sensitive enteropathy) er skilgreint sem </w:t>
      </w:r>
      <w:r>
        <w:rPr>
          <w:rFonts w:ascii="Times" w:hAnsi="Times"/>
          <w:sz w:val="24"/>
          <w:u w:val="single"/>
        </w:rPr>
        <w:t>ævilangt óþol gegn glúteni</w:t>
      </w:r>
      <w:r>
        <w:rPr>
          <w:rFonts w:ascii="Times" w:hAnsi="Times"/>
          <w:sz w:val="24"/>
        </w:rPr>
        <w:t>, eggjahvítuefni sem er að finna í hveiti, rúgi, korni og höf</w:t>
      </w:r>
      <w:r>
        <w:rPr>
          <w:rFonts w:ascii="Times" w:hAnsi="Times"/>
          <w:sz w:val="24"/>
        </w:rPr>
        <w:t xml:space="preserve">rum. Ekki er fyllilega ljóst á hvern hátt glúten veldur skaða á slímhúð skeifugarnar (duodenum) og ásgarnar (jejunum), sem visnar og verður flöt (totuvisnun-villous atrophy) en vafalítið eiga </w:t>
      </w:r>
      <w:r>
        <w:rPr>
          <w:rFonts w:ascii="Times" w:hAnsi="Times"/>
          <w:sz w:val="24"/>
          <w:u w:val="single"/>
        </w:rPr>
        <w:t>immúnologiskir þættir</w:t>
      </w:r>
      <w:r>
        <w:rPr>
          <w:rFonts w:ascii="Times" w:hAnsi="Times"/>
          <w:sz w:val="24"/>
        </w:rPr>
        <w:t xml:space="preserve"> þar stóran þátt. Totuvisnun veldur minnkuð</w:t>
      </w:r>
      <w:r>
        <w:rPr>
          <w:rFonts w:ascii="Times" w:hAnsi="Times"/>
          <w:sz w:val="24"/>
        </w:rPr>
        <w:t>u yfirborði og vanfrásogi (malabsorption).</w:t>
      </w:r>
    </w:p>
    <w:p w14:paraId="139F3389" w14:textId="77777777" w:rsidR="00000000" w:rsidRDefault="00496628">
      <w:pPr>
        <w:jc w:val="both"/>
        <w:rPr>
          <w:rFonts w:ascii="Times" w:hAnsi="Times"/>
          <w:sz w:val="24"/>
        </w:rPr>
      </w:pPr>
      <w:r>
        <w:rPr>
          <w:rFonts w:ascii="Times" w:hAnsi="Times"/>
          <w:sz w:val="24"/>
          <w:u w:val="single"/>
        </w:rPr>
        <w:t>Algengi (</w:t>
      </w:r>
      <w:proofErr w:type="gramStart"/>
      <w:r>
        <w:rPr>
          <w:rFonts w:ascii="Times" w:hAnsi="Times"/>
          <w:sz w:val="24"/>
          <w:u w:val="single"/>
        </w:rPr>
        <w:t>prevalence)</w:t>
      </w:r>
      <w:r>
        <w:rPr>
          <w:rFonts w:ascii="Times" w:hAnsi="Times"/>
          <w:sz w:val="24"/>
        </w:rPr>
        <w:t xml:space="preserve">  er</w:t>
      </w:r>
      <w:proofErr w:type="gramEnd"/>
      <w:r>
        <w:rPr>
          <w:rFonts w:ascii="Times" w:hAnsi="Times"/>
          <w:sz w:val="24"/>
        </w:rPr>
        <w:t xml:space="preserve"> mismunandi milli landa, hæst í Svíþjóð, eða 3-4/1000 börn, og greinist sjúkdómurinn þar oftast á barnsaldri, mun lægra í mörgum öðrum löndum, þar á meðal Íslandi, eða 1/34000 börn ( reikna</w:t>
      </w:r>
      <w:r>
        <w:rPr>
          <w:rFonts w:ascii="Times" w:hAnsi="Times"/>
          <w:sz w:val="24"/>
        </w:rPr>
        <w:t xml:space="preserve">ð nýgengi meðal barna 1962-1991 0,016/1000 lifandi fædd börn) og 1/9600 íbúa í árslok 1991. </w:t>
      </w:r>
    </w:p>
    <w:p w14:paraId="5D88C996" w14:textId="77777777" w:rsidR="00000000" w:rsidRDefault="00496628">
      <w:pPr>
        <w:pStyle w:val="BodyText"/>
      </w:pPr>
      <w:r>
        <w:rPr>
          <w:u w:val="single"/>
        </w:rPr>
        <w:t>Erfðir</w:t>
      </w:r>
      <w:r>
        <w:t xml:space="preserve"> skipta máli, þekkt eru tengsl við HLA-B8, -DR3, -DR7 og –DQ2. Einnig er ljóst að </w:t>
      </w:r>
      <w:r>
        <w:rPr>
          <w:u w:val="single"/>
        </w:rPr>
        <w:t>magn glútens í næringu ungbarna</w:t>
      </w:r>
      <w:r>
        <w:t xml:space="preserve"> skiptir miklu svo og hvenær byrjað er að ge</w:t>
      </w:r>
      <w:r>
        <w:t>fa þeim glúten.</w:t>
      </w:r>
    </w:p>
    <w:p w14:paraId="63AA6FE2" w14:textId="77777777" w:rsidR="00000000" w:rsidRDefault="00496628">
      <w:pPr>
        <w:jc w:val="both"/>
        <w:rPr>
          <w:rFonts w:ascii="Times" w:hAnsi="Times"/>
          <w:sz w:val="24"/>
        </w:rPr>
      </w:pPr>
      <w:r>
        <w:rPr>
          <w:rFonts w:ascii="Times" w:hAnsi="Times"/>
          <w:sz w:val="24"/>
          <w:u w:val="single"/>
        </w:rPr>
        <w:t>Einkenni</w:t>
      </w:r>
      <w:r>
        <w:rPr>
          <w:rFonts w:ascii="Times" w:hAnsi="Times"/>
          <w:sz w:val="24"/>
        </w:rPr>
        <w:t xml:space="preserve"> glútenóþols eru mismunandi og stundum óveruleg. Algengust er truflun á vexti og þroska, fyrst og fremst ónóg þyngdaraukning (vanþrif), oftar en ekki samfara niðurgangi, sem gerir venjulega vart við sig á síðari hluta fyrsta aldursá</w:t>
      </w:r>
      <w:r>
        <w:rPr>
          <w:rFonts w:ascii="Times" w:hAnsi="Times"/>
          <w:sz w:val="24"/>
        </w:rPr>
        <w:t>rs. Hægðatregða getur verið til staðar í stað niðurgangs. Börn eldri en 4-5 ára og hafa oftar önnur og óljósari einkenni svo sem endurtekna kviðverki, pirring eða þreytu, blóðleysi, liðverki eða liðbólgur, seinkaðan kynþroska eða vaxtartruflun, sem reyndar</w:t>
      </w:r>
      <w:r>
        <w:rPr>
          <w:rFonts w:ascii="Times" w:hAnsi="Times"/>
          <w:sz w:val="24"/>
        </w:rPr>
        <w:t xml:space="preserve"> getur verið eina sjúkdómseinkennið. Einkenni hjá fullorðnum eru einnig oft óljós. </w:t>
      </w:r>
      <w:r>
        <w:rPr>
          <w:rFonts w:ascii="Times" w:hAnsi="Times"/>
          <w:sz w:val="24"/>
          <w:u w:val="single"/>
        </w:rPr>
        <w:t>Ómeðhöndluðum sjúkdómi getur fylgt hætta á ófrjósemi og illkynja sjúkdómi í mjógirni (intestinal maligniteti) á fullorðinsárum</w:t>
      </w:r>
      <w:r>
        <w:rPr>
          <w:rFonts w:ascii="Times" w:hAnsi="Times"/>
          <w:sz w:val="24"/>
        </w:rPr>
        <w:t>.</w:t>
      </w:r>
    </w:p>
    <w:p w14:paraId="1C931CA0" w14:textId="77777777" w:rsidR="00000000" w:rsidRDefault="00496628">
      <w:pPr>
        <w:pStyle w:val="BodyText"/>
      </w:pPr>
      <w:r>
        <w:t>Öll börn á Íslandi fá eftir fæðingu heilsugæs</w:t>
      </w:r>
      <w:r>
        <w:t>luskrá með vaxtarlínuriti, sem varðveitt er í ungbarnaverndinni. Meðal annars er fylgst reglulega með þyngd og lengd, sem færð er inn á línuritið.  Sé um vanþrif að ræða, eða ónógan lengdarvöxt, ber að rannsaka barnið með tilliti til þessa. Mikilvægt er að</w:t>
      </w:r>
      <w:r>
        <w:t xml:space="preserve"> taka nákvæma næringarsögu: hversu lengi barnið var á brjósti, hvenær byrjað var að gefa því þurrmjólk, grauta með glúteni og svo framvegis.</w:t>
      </w:r>
    </w:p>
    <w:p w14:paraId="52BDF2B3" w14:textId="77777777" w:rsidR="00000000" w:rsidRDefault="00496628">
      <w:pPr>
        <w:jc w:val="both"/>
        <w:rPr>
          <w:rFonts w:ascii="Times" w:hAnsi="Times"/>
          <w:sz w:val="24"/>
        </w:rPr>
      </w:pPr>
      <w:r>
        <w:rPr>
          <w:rFonts w:ascii="Times" w:hAnsi="Times"/>
          <w:sz w:val="24"/>
        </w:rPr>
        <w:t xml:space="preserve">Vakni grunur um gútenóþol </w:t>
      </w:r>
      <w:r>
        <w:rPr>
          <w:rFonts w:ascii="Times" w:hAnsi="Times"/>
          <w:sz w:val="24"/>
          <w:u w:val="single"/>
        </w:rPr>
        <w:t>er nauðsynlegt að rannsaka barnið áður en það er sett á glútenfrítt fæði</w:t>
      </w:r>
      <w:r>
        <w:rPr>
          <w:rFonts w:ascii="Times" w:hAnsi="Times"/>
          <w:sz w:val="24"/>
        </w:rPr>
        <w:t>. Glútenmótefni (</w:t>
      </w:r>
      <w:r>
        <w:rPr>
          <w:rFonts w:ascii="Times" w:hAnsi="Times"/>
          <w:sz w:val="24"/>
        </w:rPr>
        <w:t xml:space="preserve">IgA og IgG) í sermi, sem notuð hafa verið sem hjálpartæki við greiningu, hafa ekki reynst sem skyldi, þar sem þessi mótefni hafa í vissum tilvikum reynst fölskjákvæð (sérstaklega IgG-mótefni), sjaldnar fölskneikvæð (sérlega hjá yngstu börnunum). </w:t>
      </w:r>
      <w:r>
        <w:rPr>
          <w:rFonts w:ascii="Times" w:hAnsi="Times"/>
          <w:sz w:val="24"/>
          <w:u w:val="single"/>
        </w:rPr>
        <w:t>Mæling á t</w:t>
      </w:r>
      <w:r>
        <w:rPr>
          <w:rFonts w:ascii="Times" w:hAnsi="Times"/>
          <w:sz w:val="24"/>
          <w:u w:val="single"/>
        </w:rPr>
        <w:t>ransglutaminasamótefnum</w:t>
      </w:r>
      <w:r>
        <w:rPr>
          <w:rFonts w:ascii="Times" w:hAnsi="Times"/>
          <w:sz w:val="24"/>
        </w:rPr>
        <w:t>, sem nýlega er hafin hér á landi, virðist mun ábyggilegri (IgA-</w:t>
      </w:r>
      <w:proofErr w:type="gramStart"/>
      <w:r>
        <w:rPr>
          <w:rFonts w:ascii="Times" w:hAnsi="Times"/>
          <w:sz w:val="24"/>
        </w:rPr>
        <w:t>mótefni:næmi</w:t>
      </w:r>
      <w:proofErr w:type="gramEnd"/>
      <w:r>
        <w:rPr>
          <w:rFonts w:ascii="Times" w:hAnsi="Times"/>
          <w:sz w:val="24"/>
        </w:rPr>
        <w:t xml:space="preserve"> 96%, sértækni 99%) sem hjálpartæki við greiningu. </w:t>
      </w:r>
    </w:p>
    <w:p w14:paraId="5C14AF4B" w14:textId="77777777" w:rsidR="00000000" w:rsidRDefault="00496628">
      <w:pPr>
        <w:jc w:val="both"/>
        <w:rPr>
          <w:rFonts w:ascii="Times" w:hAnsi="Times"/>
          <w:sz w:val="24"/>
        </w:rPr>
      </w:pPr>
      <w:r>
        <w:rPr>
          <w:rFonts w:ascii="Times" w:hAnsi="Times"/>
          <w:sz w:val="24"/>
          <w:u w:val="single"/>
        </w:rPr>
        <w:t>Mikilvægt er að hafa í huga, að sjúkdómsgreiningin verður einungis staðfest með mjógirnisvefjasýnitöku (j</w:t>
      </w:r>
      <w:r>
        <w:rPr>
          <w:rFonts w:ascii="Times" w:hAnsi="Times"/>
          <w:sz w:val="24"/>
          <w:u w:val="single"/>
        </w:rPr>
        <w:t>ejunalbíopsíu) áður en barnið er sett á glútenfrítt fæði</w:t>
      </w:r>
      <w:r>
        <w:rPr>
          <w:rFonts w:ascii="Times" w:hAnsi="Times"/>
          <w:sz w:val="24"/>
        </w:rPr>
        <w:t>, sem við smásjárskoðun leiðir í ljós áðurnefnda slímhúðartotuvisnun (villous atrophy), algjöra (total) eða að hluta (subtotal</w:t>
      </w:r>
      <w:proofErr w:type="gramStart"/>
      <w:r>
        <w:rPr>
          <w:rFonts w:ascii="Times" w:hAnsi="Times"/>
          <w:sz w:val="24"/>
        </w:rPr>
        <w:t>),  þegar</w:t>
      </w:r>
      <w:proofErr w:type="gramEnd"/>
      <w:r>
        <w:rPr>
          <w:rFonts w:ascii="Times" w:hAnsi="Times"/>
          <w:sz w:val="24"/>
        </w:rPr>
        <w:t xml:space="preserve"> um glútenóþol er að ræða.</w:t>
      </w:r>
    </w:p>
    <w:p w14:paraId="2095AA2A" w14:textId="77777777" w:rsidR="00000000" w:rsidRDefault="00496628">
      <w:pPr>
        <w:jc w:val="both"/>
        <w:rPr>
          <w:rFonts w:ascii="Times" w:hAnsi="Times"/>
          <w:sz w:val="24"/>
        </w:rPr>
      </w:pPr>
      <w:r>
        <w:rPr>
          <w:rFonts w:ascii="Times" w:hAnsi="Times"/>
          <w:sz w:val="24"/>
          <w:u w:val="single"/>
        </w:rPr>
        <w:t>Til að staðfesta grun um glútenóþol hj</w:t>
      </w:r>
      <w:r>
        <w:rPr>
          <w:rFonts w:ascii="Times" w:hAnsi="Times"/>
          <w:sz w:val="24"/>
          <w:u w:val="single"/>
        </w:rPr>
        <w:t>á yngstu börnunum</w:t>
      </w:r>
      <w:r>
        <w:rPr>
          <w:rFonts w:ascii="Times" w:hAnsi="Times"/>
          <w:sz w:val="24"/>
        </w:rPr>
        <w:t xml:space="preserve"> (&lt; 2ja ára við greiningu) er venjan að taka þrívegis mjógirnisvefjasýni (mjógirnisbíopsíu): Það fyrsta þegar grunur vaknar um sjúkdóminn, á meðan barnið er á venjulegu fæði, annað þegar barnið hefur verið í um það bil 1-2 ár á glútenfríu </w:t>
      </w:r>
      <w:r>
        <w:rPr>
          <w:rFonts w:ascii="Times" w:hAnsi="Times"/>
          <w:sz w:val="24"/>
        </w:rPr>
        <w:t>fæði og á mjógirnisslímhúðin þá að vera orðin eðlileg útlits við smásjárskoðun. Þriðja sýnið er tekið eftir að barnið hefur verið sett aftur á glútenfæði (provocerað) og á þá áðurnefnd totuvisnun (villous atrophy) að hafa gert vart við sig aftur.</w:t>
      </w:r>
    </w:p>
    <w:p w14:paraId="28ADBF89" w14:textId="77777777" w:rsidR="00000000" w:rsidRDefault="00496628">
      <w:pPr>
        <w:jc w:val="both"/>
        <w:rPr>
          <w:rFonts w:ascii="Times" w:hAnsi="Times"/>
          <w:sz w:val="24"/>
        </w:rPr>
      </w:pPr>
      <w:r>
        <w:rPr>
          <w:rFonts w:ascii="Times" w:hAnsi="Times"/>
          <w:sz w:val="24"/>
          <w:u w:val="single"/>
        </w:rPr>
        <w:t>Sé um eld</w:t>
      </w:r>
      <w:r>
        <w:rPr>
          <w:rFonts w:ascii="Times" w:hAnsi="Times"/>
          <w:sz w:val="24"/>
          <w:u w:val="single"/>
        </w:rPr>
        <w:t>ra barn að ræða</w:t>
      </w:r>
      <w:r>
        <w:rPr>
          <w:rFonts w:ascii="Times" w:hAnsi="Times"/>
          <w:sz w:val="24"/>
        </w:rPr>
        <w:t xml:space="preserve">, eru tvö fyrri mjógirnisvefjasýnin oftast látin nægja, enda hafi þá ekki verið vafi á greiningu hvað fyrra sýnið varðar, það seinna eðlilegt og barnið einkennalaust, eðlilegur vöxtur og þroski.  </w:t>
      </w:r>
    </w:p>
    <w:p w14:paraId="2C99C00A" w14:textId="77777777" w:rsidR="00000000" w:rsidRDefault="00496628">
      <w:pPr>
        <w:jc w:val="both"/>
        <w:rPr>
          <w:rFonts w:ascii="Times" w:hAnsi="Times"/>
          <w:sz w:val="24"/>
        </w:rPr>
      </w:pPr>
      <w:r>
        <w:rPr>
          <w:rFonts w:ascii="Times" w:hAnsi="Times"/>
          <w:sz w:val="24"/>
          <w:u w:val="single"/>
        </w:rPr>
        <w:t>Meðferðin er ævilangt glútenfrítt fæði</w:t>
      </w:r>
      <w:r>
        <w:rPr>
          <w:rFonts w:ascii="Times" w:hAnsi="Times"/>
          <w:sz w:val="24"/>
        </w:rPr>
        <w:t xml:space="preserve">, sem </w:t>
      </w:r>
      <w:r>
        <w:rPr>
          <w:rFonts w:ascii="Times" w:hAnsi="Times"/>
          <w:sz w:val="24"/>
        </w:rPr>
        <w:t>hefur í för með sér að öll áðurnefnd einkenni ganga til baka og einnig eðlilegan vöxt og þroska, dragist greiningin ekki úr hófi.</w:t>
      </w:r>
    </w:p>
    <w:p w14:paraId="21690E3C" w14:textId="77777777" w:rsidR="00000000" w:rsidRDefault="00496628">
      <w:pPr>
        <w:jc w:val="both"/>
        <w:rPr>
          <w:rFonts w:ascii="Times" w:hAnsi="Times"/>
          <w:sz w:val="24"/>
        </w:rPr>
      </w:pPr>
      <w:r>
        <w:rPr>
          <w:rFonts w:ascii="Times" w:hAnsi="Times"/>
          <w:sz w:val="24"/>
        </w:rPr>
        <w:lastRenderedPageBreak/>
        <w:t xml:space="preserve">Á síðustu árum hefur komið í ljós með viðamiklum skimunum, meðal annars á einkennalausum blóðgjöfum, </w:t>
      </w:r>
      <w:r>
        <w:rPr>
          <w:rFonts w:ascii="Times" w:hAnsi="Times"/>
          <w:sz w:val="24"/>
          <w:u w:val="single"/>
        </w:rPr>
        <w:t>að glútenóþol er mun alge</w:t>
      </w:r>
      <w:r>
        <w:rPr>
          <w:rFonts w:ascii="Times" w:hAnsi="Times"/>
          <w:sz w:val="24"/>
          <w:u w:val="single"/>
        </w:rPr>
        <w:t>ngari sjúkdómur en talið hefur verið</w:t>
      </w:r>
      <w:r>
        <w:rPr>
          <w:rFonts w:ascii="Times" w:hAnsi="Times"/>
          <w:sz w:val="24"/>
        </w:rPr>
        <w:t xml:space="preserve">. </w:t>
      </w:r>
      <w:r>
        <w:rPr>
          <w:rFonts w:ascii="Times" w:hAnsi="Times"/>
          <w:sz w:val="24"/>
          <w:u w:val="single"/>
        </w:rPr>
        <w:t>Ætla má að algengi sjúkdómsins í Evrópu sé á bilinu 2-6/1000 íbúa</w:t>
      </w:r>
      <w:r>
        <w:rPr>
          <w:rFonts w:ascii="Times" w:hAnsi="Times"/>
          <w:sz w:val="24"/>
        </w:rPr>
        <w:t xml:space="preserve">. Sjúkdómurinn virðist þannig </w:t>
      </w:r>
      <w:r>
        <w:rPr>
          <w:rFonts w:ascii="Times" w:hAnsi="Times"/>
          <w:sz w:val="24"/>
          <w:u w:val="single"/>
        </w:rPr>
        <w:t>verulega vangreindur</w:t>
      </w:r>
      <w:r>
        <w:rPr>
          <w:rFonts w:ascii="Times" w:hAnsi="Times"/>
          <w:sz w:val="24"/>
        </w:rPr>
        <w:t>, og greiningartöf löng, enda einkenni oft óljós og jafnvel frá öðrum líffærakerfum en meltingarvegi. Þ</w:t>
      </w:r>
      <w:r>
        <w:rPr>
          <w:rFonts w:ascii="Times" w:hAnsi="Times"/>
          <w:sz w:val="24"/>
        </w:rPr>
        <w:t>ar sem afleiðingar sjúkdómsins geta verið alvarlegar, er ástæða til að hvetja til árvekni hvað greiningu varðar og benda í því sambandi á mótefnamælingu þá, sem nýlega var tekin upp hér á landi (transglutaminasamótefni). Enn sem komið er getur þó engin ran</w:t>
      </w:r>
      <w:r>
        <w:rPr>
          <w:rFonts w:ascii="Times" w:hAnsi="Times"/>
          <w:sz w:val="24"/>
        </w:rPr>
        <w:t>nsókn komið í stað mjógirnisvefjasýnitöku til að staðfesta greiningu á glútenóþoli.</w:t>
      </w:r>
    </w:p>
    <w:p w14:paraId="5653DC07" w14:textId="77777777" w:rsidR="00000000" w:rsidRDefault="00496628">
      <w:pPr>
        <w:jc w:val="both"/>
        <w:rPr>
          <w:rFonts w:ascii="Times" w:hAnsi="Times"/>
          <w:sz w:val="24"/>
        </w:rPr>
      </w:pPr>
    </w:p>
    <w:p w14:paraId="6A2CD647" w14:textId="77777777" w:rsidR="00000000" w:rsidRDefault="00496628">
      <w:pPr>
        <w:jc w:val="both"/>
        <w:rPr>
          <w:rFonts w:ascii="Times" w:hAnsi="Times"/>
          <w:sz w:val="24"/>
        </w:rPr>
      </w:pPr>
      <w:r>
        <w:rPr>
          <w:rFonts w:ascii="Times" w:hAnsi="Times"/>
          <w:sz w:val="24"/>
        </w:rPr>
        <w:t>Heimildir:</w:t>
      </w:r>
    </w:p>
    <w:p w14:paraId="5525448C" w14:textId="77777777" w:rsidR="00000000" w:rsidRDefault="00496628">
      <w:pPr>
        <w:pStyle w:val="BodyText"/>
      </w:pPr>
      <w:r>
        <w:t xml:space="preserve">Riccardo Troncone, Luigi Greco, Salvatore Auricchio: Gluten-Sensitive Enteropathy. Pediatric Clinics of North America 1996; 2: 355-373. </w:t>
      </w:r>
    </w:p>
    <w:p w14:paraId="11C39823" w14:textId="77777777" w:rsidR="00000000" w:rsidRDefault="00496628">
      <w:pPr>
        <w:jc w:val="both"/>
        <w:rPr>
          <w:rFonts w:ascii="Times" w:hAnsi="Times"/>
          <w:sz w:val="24"/>
        </w:rPr>
      </w:pPr>
    </w:p>
    <w:p w14:paraId="17B03210" w14:textId="77777777" w:rsidR="00000000" w:rsidRDefault="00496628">
      <w:pPr>
        <w:jc w:val="both"/>
        <w:rPr>
          <w:rFonts w:ascii="Times" w:hAnsi="Times"/>
          <w:sz w:val="24"/>
        </w:rPr>
      </w:pPr>
      <w:r>
        <w:rPr>
          <w:rFonts w:ascii="Times" w:hAnsi="Times"/>
          <w:sz w:val="24"/>
        </w:rPr>
        <w:t>C Catassi, CH Lifschit</w:t>
      </w:r>
      <w:r>
        <w:rPr>
          <w:rFonts w:ascii="Times" w:hAnsi="Times"/>
          <w:sz w:val="24"/>
        </w:rPr>
        <w:t xml:space="preserve">z, PL Giorgi: Beyond the Iceberg: The Present and Future of Coeliac creening. Acta Pædiatrica 1996; Suppl 412: 1-84. </w:t>
      </w:r>
    </w:p>
    <w:p w14:paraId="5D7D3DE4" w14:textId="77777777" w:rsidR="00000000" w:rsidRDefault="00496628">
      <w:pPr>
        <w:jc w:val="both"/>
        <w:rPr>
          <w:rFonts w:ascii="Times" w:hAnsi="Times"/>
          <w:sz w:val="24"/>
        </w:rPr>
      </w:pPr>
    </w:p>
    <w:p w14:paraId="28BC48DE" w14:textId="77777777" w:rsidR="00000000" w:rsidRDefault="00496628">
      <w:pPr>
        <w:pStyle w:val="BodyText"/>
      </w:pPr>
      <w:r>
        <w:t xml:space="preserve">David Branski, Riccardo Troncone: Celiac disease: A reappraisal. Journal of Pediatrics. 1998; 133: 181-7. </w:t>
      </w:r>
    </w:p>
    <w:p w14:paraId="5A443BD9" w14:textId="77777777" w:rsidR="00000000" w:rsidRDefault="00496628">
      <w:pPr>
        <w:jc w:val="both"/>
        <w:rPr>
          <w:rFonts w:ascii="Times" w:hAnsi="Times"/>
          <w:sz w:val="24"/>
        </w:rPr>
      </w:pPr>
    </w:p>
    <w:p w14:paraId="06B8CD73" w14:textId="77777777" w:rsidR="00000000" w:rsidRDefault="00496628">
      <w:pPr>
        <w:jc w:val="both"/>
        <w:rPr>
          <w:rFonts w:ascii="Times" w:hAnsi="Times"/>
          <w:sz w:val="24"/>
        </w:rPr>
      </w:pPr>
      <w:r>
        <w:rPr>
          <w:rFonts w:ascii="Times" w:hAnsi="Times"/>
          <w:sz w:val="24"/>
        </w:rPr>
        <w:t>Jón Sigmundsson, Hallgrímur G</w:t>
      </w:r>
      <w:r>
        <w:rPr>
          <w:rFonts w:ascii="Times" w:hAnsi="Times"/>
          <w:sz w:val="24"/>
        </w:rPr>
        <w:t xml:space="preserve">uðjónsson, Jóhannes Björnsson, Nicholas J. Cariglia, Gestur Pálsson: Glútenóþol í görn á Íslandi - faraldsfræði, sjúkdómsmynd og greining. Læknablaðið 1995; 81: 393-400. </w:t>
      </w:r>
    </w:p>
    <w:p w14:paraId="7AAE718A" w14:textId="77777777" w:rsidR="00000000" w:rsidRDefault="00496628">
      <w:pPr>
        <w:tabs>
          <w:tab w:val="left" w:pos="9000"/>
        </w:tabs>
        <w:jc w:val="both"/>
        <w:rPr>
          <w:rFonts w:ascii="Arial" w:hAnsi="Arial"/>
          <w:sz w:val="24"/>
        </w:rPr>
      </w:pPr>
    </w:p>
    <w:p w14:paraId="1146C740" w14:textId="77777777" w:rsidR="00000000" w:rsidRDefault="00496628">
      <w:pPr>
        <w:tabs>
          <w:tab w:val="left" w:pos="9000"/>
        </w:tabs>
        <w:jc w:val="both"/>
        <w:rPr>
          <w:rFonts w:ascii="Times" w:hAnsi="Times"/>
          <w:sz w:val="24"/>
        </w:rPr>
      </w:pPr>
      <w:r>
        <w:rPr>
          <w:rFonts w:ascii="Times" w:hAnsi="Times"/>
          <w:sz w:val="24"/>
        </w:rPr>
        <w:t>Gestur Pálsson, Jóhann Ágúst Sigurðsson, Hjördís Guðbjörnsdóttir: “Ungbarnavernd, le</w:t>
      </w:r>
      <w:r>
        <w:rPr>
          <w:rFonts w:ascii="Times" w:hAnsi="Times"/>
          <w:sz w:val="24"/>
        </w:rPr>
        <w:t>iðbeiningar um heilsugæslu barna”, rit útgefið af Landlæknisembættinu 1996.</w:t>
      </w:r>
    </w:p>
    <w:p w14:paraId="6356AF80" w14:textId="77777777" w:rsidR="00000000" w:rsidRDefault="00496628">
      <w:pPr>
        <w:tabs>
          <w:tab w:val="left" w:pos="9000"/>
        </w:tabs>
        <w:jc w:val="both"/>
        <w:rPr>
          <w:rFonts w:ascii="Times" w:hAnsi="Times"/>
          <w:sz w:val="24"/>
        </w:rPr>
      </w:pPr>
    </w:p>
    <w:p w14:paraId="0F97A5C2" w14:textId="77777777" w:rsidR="00000000" w:rsidRDefault="00496628">
      <w:pPr>
        <w:tabs>
          <w:tab w:val="left" w:pos="9000"/>
        </w:tabs>
        <w:jc w:val="both"/>
        <w:rPr>
          <w:rFonts w:ascii="Times" w:hAnsi="Times"/>
          <w:sz w:val="24"/>
        </w:rPr>
      </w:pPr>
    </w:p>
    <w:p w14:paraId="47BEB84D" w14:textId="77777777" w:rsidR="00000000" w:rsidRDefault="00496628">
      <w:pPr>
        <w:tabs>
          <w:tab w:val="left" w:pos="9000"/>
        </w:tabs>
        <w:jc w:val="both"/>
        <w:rPr>
          <w:rFonts w:ascii="Times" w:hAnsi="Times"/>
          <w:sz w:val="24"/>
        </w:rPr>
      </w:pPr>
    </w:p>
    <w:p w14:paraId="7AB13DFB" w14:textId="77777777" w:rsidR="00000000" w:rsidRDefault="00496628">
      <w:pPr>
        <w:tabs>
          <w:tab w:val="left" w:pos="9000"/>
        </w:tabs>
        <w:jc w:val="both"/>
        <w:rPr>
          <w:rFonts w:ascii="Times" w:hAnsi="Times"/>
          <w:sz w:val="24"/>
        </w:rPr>
      </w:pPr>
    </w:p>
    <w:p w14:paraId="7CA3C87B" w14:textId="77777777" w:rsidR="00000000" w:rsidRDefault="00496628">
      <w:pPr>
        <w:tabs>
          <w:tab w:val="left" w:pos="720"/>
        </w:tabs>
        <w:rPr>
          <w:rFonts w:ascii="Arial" w:hAnsi="Arial"/>
          <w:sz w:val="24"/>
        </w:rPr>
      </w:pPr>
    </w:p>
    <w:sectPr w:rsidR="00000000">
      <w:pgSz w:w="11880" w:h="16800"/>
      <w:pgMar w:top="1440" w:right="1440" w:bottom="1440" w:left="144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76A6A"/>
    <w:rsid w:val="00496628"/>
    <w:rsid w:val="0077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75DC7E"/>
  <w15:chartTrackingRefBased/>
  <w15:docId w15:val="{192CF09A-FDDC-4494-BD88-41B4252B6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s-IS" w:eastAsia="is-I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odyText">
    <w:name w:val="Body Text"/>
    <w:basedOn w:val="Normal"/>
    <w:semiHidden/>
    <w:pPr>
      <w:jc w:val="both"/>
    </w:pPr>
    <w:rPr>
      <w:rFonts w:ascii="Times" w:hAnsi="Times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69A4A37619F74586D4A6E673B7171A" ma:contentTypeVersion="0" ma:contentTypeDescription="Create a new document." ma:contentTypeScope="" ma:versionID="9ea9d1150f9115ccf2ac83b13e58fea0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C7B4B3C-99C0-43C8-A208-DEF7A13B498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88D2E4-562A-4CEC-BAD9-0409C98D13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7857AA95-F029-4E25-949C-9A350F9C759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798</Words>
  <Characters>4659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GP/97</vt:lpstr>
    </vt:vector>
  </TitlesOfParts>
  <Company>Ríkisspítalar</Company>
  <LinksUpToDate>false</LinksUpToDate>
  <CharactersWithSpaces>5447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GP/97</dc:title>
  <dc:subject/>
  <dc:creator>Gestur Ingvi Pálsson</dc:creator>
  <cp:keywords/>
  <cp:lastModifiedBy>Guðmundur Ingi Kristjánsson</cp:lastModifiedBy>
  <cp:revision>2</cp:revision>
  <cp:lastPrinted>2001-01-18T14:32:00Z</cp:lastPrinted>
  <dcterms:created xsi:type="dcterms:W3CDTF">2019-10-29T15:31:00Z</dcterms:created>
  <dcterms:modified xsi:type="dcterms:W3CDTF">2019-10-29T15:31:00Z</dcterms:modified>
</cp:coreProperties>
</file>